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272 vom 7. Januar 2016</w:t>
      </w:r>
    </w:p>
    <w:p>
      <w:r>
        <w:t>FR Kantonsgericht, 2016-01-07, FR</w:t>
      </w:r>
    </w:p>
    <w:p>
      <w:r>
        <w:rPr>
          <w:b/>
        </w:rPr>
        <w:t xml:space="preserve">Quelle: </w:t>
      </w:r>
      <w:r>
        <w:t>https://mcp.opencaselaw.ch/entscheid/fr_gerichte_101 2015 272</w:t>
      </w:r>
    </w:p>
    <w:p>
      <w:r>
        <w:t>FR: FR_GERICHTE 101 2015 272 du 7 janvier 2016</w:t>
      </w:r>
    </w:p>
    <w:p>
      <w:r>
        <w:t>IT: FR_GERICHTE 101 2015 272 del 7 gennaio 2016</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à la mandataire de l'appelante le 9 novembre 2015. Le délai d'appel est dès lors arrivé à échéance le 19 novembre 2015. Or, l'enveloppe qui contenait le mémoire d'appel porte le sceau postal de ce jour-là et, dans une déclaration manuscrite apposée au verso de cette enveloppe, un dénommé F.________ atteste que "ce courrier est posté le 19 novembre 2015 à 18H55". Partant, il faut retenir que le mémoire d'appel a été déposé à temps. Il est de plus dûment motivé et doté de conclusions. En outre, vu la contribution d'entretien réclamée – et contestée – en première instance pour l'épouse, soit CHF 1'000.- par mois, la valeur litigieuse en appel est clairement supérieure à CHF 10'000.-. Il s'ensuit la recevabilité de l'appel</w:t>
      </w:r>
    </w:p>
    <w:p>
      <w:r>
        <w:t>Tribunal cantonal TC Page 3 de 5 b) La procédure sommaire (art. 252 ss CPC) s'applique aux causes de mesures provisionnelles (art. 271 par renvoi de l'art. 276 al. 1 CPC), le tribunal établissant toutefois les faits d'office (maxime inquisitoire, art. 272 CPC). c) La cognition de la Cour d'appel est pleine et entière, en fait comme en droit (art. 310 CPC). d) Selon l'art. 316 al. 1 CPC, la Cour d'appel peut ordonner des débats ou statuer sur pièces. En l'espèce, vu l'objet de l'appel et le fait que toutes les informations nécessaires à son traitement figurent au dossier, il n'est pas nécessaire d'assigner les parties à une audience. e) Vu les montants contestés en appel, comme la durée en l'état indéterminée des mesures prononcées, la valeur litigieuse pour un recours au Tribunal fédéral paraît supérieure à CHF 30'000.- (art. 51 al. 1 let. a et al. 4 LTF).</w:t>
      </w:r>
    </w:p>
    <w:p>
      <w:r>
        <w:rPr>
          <w:b/>
        </w:rPr>
        <w:t>E. 2</w:t>
      </w:r>
    </w:p>
    <w:p>
      <w:r>
        <w:t>L'appelante critique le montant de la contribution d'entretien qui lui a été allouée à charge de l'intimé. Elle demande son augmentation, respectivement de CHF 300.- à CHF 610.- et de CHF 175.- à CHF 300.- par mois.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126 III 8 consid. 3c ; arrêt TF 5A_11/2014 du 3 juillet 2014 consid. 4.3.1.1). De plus, en matière de fixation de contributions d'entretien, le juge dispose d'un large pouvoir d'appréciation (ATF 138 III 289 consid. 11.1.1 et les références citées). b) En l'espèce, le premier juge a établi les situations financières respectives des époux puis, sur cette base, a procédé à un partage des soldes par la moitié. Dans son appel, A.________ critique deux postes de ses charges écartés par le Président. Dès lors, quand bien même elle ne fait pas valoir que ce dernier aurait outrepassé son large pouvoir d'appréciation, cet état de fait est sans incidence au vu des critiques développées sur des points précis, contrairement à ce que semble soutenir l'intimé dans sa réponse (p. 4). c) Cela étant, le Président a considéré que l'épouse dispose d'un solde mensuel avant impôts de CHF 64.35, compte tenu d'un revenu net de CHF 2'646.- et de charges à hauteur de CHF 2'581.65. Il a notamment tenu compte d'une part au logement de CHF 875.-, mais a omis de retenir la prime de caisse-maladie acquittée pour l'intimé en janvier et février 2015, et a écarté la part privée alléguée au véhicule de fonction, l'appelante habitant et travaillant dans le même immeuble (décision attaquée, p. 7 s.). Dans son appel, A.________ reproche au Président de ne pas avoir tenu compte de la part privée au véhicule de fonction, ni de la prime de caisse-maladie qu'elle a payée pour son mari. Selon elle, c'est ainsi un supplément de CHF 266.-, augmenté de CHF 373.50 en janvier et février 2015, qui aurait dû être inclus dans ses charges (appel, p. 5 à 7).</w:t>
      </w:r>
    </w:p>
    <w:p>
      <w:r>
        <w:t>Tribunal cantonal TC Page 4 de 5 Les frais de véhicule sont comptés si l'usage en est indispensable, par exemple faute de transports publics aux heures de travail ou au lieu de domicile, ou eu égard à l'état de santé voire à la présence de plusieurs enfants à transporter (arrêt TF 5P.238/2005 du 28 novembre 2005 consid. 4.2.2). En l'espèce, l'appelante habite et travaille dans le même immeuble, de sorte qu'elle n'a pas de frais de véhicule pour se rendre au travail, étant précisé que les déplacements dans le cadre de son activité, par exemple pour aller acheter des denrées pour son restaurant, sont déjà pris en considération dans les comptes de sa société. De plus, elle habite à G.________, commune bien desservie par les transports publics, et n'allègue pas de déplacements particuliers en faveur de ses enfants, sauf pour les véhiculer parfois chez leur père lors du droit de visite ; or, ce dernier indique être disposé à assumer ces déplacements (réponse, p. 7), qui sont en principe à sa charge (arrêt TF 5A_679/2011 du 10 avril 2012 consid. 7.3). Dans ces conditions, c'est à juste titre que le premier juge a écarté la part privée au véhicule de fonction. S'agissant des primes de l'assurance-maladie de base de l'intimé pour janvier et février 2015, il n'est pas contesté qu'elles ont été acquittées par l'épouse, à hauteur de CHF 265.75 par mois (décision attaquée, p. 7). Or, si le Président a bien fait abstraction de ces montants chez le mari, il ne les a pas comptés chez l'appelante. Toutefois, en parallèle, il a pris en considération la part privée au loyer de l'immeuble abritant les locaux commercial et d'habitation de celle-ci, à hauteur de CHF 875.-, alors que l'épouse a déclaré en audience qu'elle n'avait pas versé la part privée pour les mois en question (DO/41). Comme le fait valoir l'intimé (réponse, p. 11 s.), cette charge n'aurait dès lors pas dû être retenue, seules les dépenses effectivement assumées pouvant être prises en compte (ATF 126 III 89 consid. 3b ; arrêt TF 5A_608/2014 du 16 décembre 2014 consid. 4.1). Cela contrebalance largement l'oubli lié à la prime d'assurance-maladie. Il en découle que l'établissement de la situation financière de l'appelante par le premier juge n'est en tout cas pas en défaveur de cette dernière. d) Au surplus, A.________ ne critique pas la situation financière de son mari telle qu'arrêtée par le Président, ni les calculs de ce dernier, qui paraissent corrects. En conséquence, l'appel doit être rejeté en totalité.</w:t>
      </w:r>
    </w:p>
    <w:p>
      <w:r>
        <w:rPr>
          <w:b/>
        </w:rPr>
        <w:t>E. 3</w:t>
      </w:r>
    </w:p>
    <w:p>
      <w:r>
        <w:t>a) Sous réserve de l'assistance judiciaire, les frais d'appel doivent être mis à la charge de A.________, qui succombe (art. 106 al. 1 CPC). Ils comprennent notamment les frais judiciaires dus à l'Etat pour le présent arrêt, fixés à CHF 900.-. b)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l'intimé à la somme de CHF 1'000.-, débours compris, plus TVA par CHF 80.- (8 % de CHF 1'000.-).</w:t>
      </w:r>
    </w:p>
    <w:p>
      <w:r>
        <w:t>Tribunal cantonal TC Page 5 de 5 la Cour arrête : I. L’appel est rejeté. Partant, le chiffre 5 du dispositif de la décision rendue le 23 octobre 2015 par le Président du Tribunal civil de la Sarine est confirmé. II. Sous réserve de l’assistance judiciaire, les frais d’appel sont mis à la charge de A.________. Ils comprennent notamment les frais de justice dus à l’Etat, fixés à CHF 900.-. III. Les dépens d’appel de B.________ sont fixés globalement à la somme de CHF 1’000.-, débours compris, plus la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janvier 2016/lfa Président Greffier-rapporteur Un délai de 10 jours dès réception du présent arrêt est imparti à Me Danièle Mooser pour produire sa liste de frais relative à l'appel, exclusivement, aux fins de fixer les indemnités de défenseurs d'office revenant aux mandataires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